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spacing w:before="0" w:beforeAutospacing="0" w:after="0" w:afterAutospacing="0" w:line="600" w:lineRule="atLeast"/>
        <w:jc w:val="center"/>
        <w:rPr>
          <w:rFonts w:ascii="黑体" w:eastAsia="黑体"/>
          <w:color w:val="000000"/>
          <w:sz w:val="36"/>
          <w:szCs w:val="30"/>
        </w:rPr>
      </w:pPr>
      <w:r>
        <w:rPr>
          <w:rFonts w:hint="eastAsia" w:ascii="黑体" w:eastAsia="黑体"/>
          <w:color w:val="000000"/>
          <w:sz w:val="36"/>
          <w:szCs w:val="30"/>
        </w:rPr>
        <w:t>重庆市地震安全性评价管理规定</w:t>
      </w:r>
    </w:p>
    <w:p>
      <w:pPr>
        <w:widowControl/>
        <w:shd w:val="clear" w:color="auto" w:fill="FFFFFF"/>
        <w:snapToGrid w:val="0"/>
        <w:spacing w:line="600" w:lineRule="atLeast"/>
        <w:jc w:val="center"/>
        <w:rPr>
          <w:rFonts w:ascii="宋体" w:hAnsi="宋体" w:eastAsia="宋体" w:cs="宋体"/>
          <w:color w:val="000000"/>
          <w:kern w:val="0"/>
          <w:sz w:val="24"/>
          <w:szCs w:val="23"/>
          <w:shd w:val="clear" w:color="auto" w:fill="FFFFFF"/>
        </w:rPr>
      </w:pPr>
      <w:r>
        <w:rPr>
          <w:rFonts w:hint="eastAsia" w:ascii="宋体" w:hAnsi="宋体" w:eastAsia="宋体" w:cs="宋体"/>
          <w:color w:val="000000"/>
          <w:kern w:val="0"/>
          <w:sz w:val="24"/>
          <w:szCs w:val="23"/>
          <w:shd w:val="clear" w:color="auto" w:fill="FFFFFF"/>
        </w:rPr>
        <w:t>（市政府令第283号于2014年10月24日公布，根据《重庆市人民政府关于废止和修改部分政府规章的决定》（市政府令第321号）于2018年7月4日修改）</w:t>
      </w:r>
    </w:p>
    <w:p>
      <w:pPr>
        <w:widowControl/>
        <w:shd w:val="clear" w:color="auto" w:fill="FFFFFF"/>
        <w:snapToGrid w:val="0"/>
        <w:spacing w:line="600" w:lineRule="atLeast"/>
        <w:jc w:val="center"/>
        <w:rPr>
          <w:rFonts w:ascii="宋体" w:hAnsi="宋体" w:eastAsia="宋体" w:cs="宋体"/>
          <w:color w:val="000000"/>
          <w:kern w:val="0"/>
          <w:sz w:val="23"/>
          <w:szCs w:val="23"/>
          <w:shd w:val="clear" w:color="auto" w:fill="FFFFFF"/>
        </w:rPr>
      </w:pP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第一条</w:t>
      </w:r>
      <w:r>
        <w:rPr>
          <w:rFonts w:hint="eastAsia"/>
          <w:color w:val="000000"/>
          <w:sz w:val="30"/>
          <w:szCs w:val="30"/>
        </w:rPr>
        <w:t xml:space="preserve"> 为了加强对地震安全性评价的管理，防御与减轻地震灾害，保护人民生命和财产安全，根据《中华人民共和国防震减灾法》、国务院《地震安全性评价管理条例》、《重庆市防震减灾条例》等有关法律、法规，结合本市实际，制定本规定。</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第二条</w:t>
      </w:r>
      <w:r>
        <w:rPr>
          <w:rFonts w:hint="eastAsia"/>
          <w:color w:val="000000"/>
          <w:sz w:val="30"/>
          <w:szCs w:val="30"/>
        </w:rPr>
        <w:t xml:space="preserve"> 在本市行政区域内从事地震安全性评价活动，适用本规定。</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本规定所称地震安全性评价，是指根据对新建、改建、扩建工程（以下统称建设工程）场地和场地周围的地震活动与地震地质环境的分析，按照工程设防的风险水准，给出与工程抗震设防要求相应的地震烈度和地震动参数，供工程设计使用，并给出场地的地震地质灾害预测结果。</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第三条</w:t>
      </w:r>
      <w:r>
        <w:rPr>
          <w:rFonts w:hint="eastAsia"/>
          <w:color w:val="000000"/>
          <w:sz w:val="30"/>
          <w:szCs w:val="30"/>
        </w:rPr>
        <w:t xml:space="preserve"> 一般建设工程按照地震烈度区划图、地震动参数区划图所确定的抗震设防要求进行抗震设防，无需进行专门的地震安全性评价。</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重大建设工程和可能发生严重次生灾害的建设工程（范围见附件）应当进行地震安全性评价，并按照经审定的地震安全性评价报告所确定的抗震设防要求进行抗震设防。</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第四条</w:t>
      </w:r>
      <w:r>
        <w:rPr>
          <w:rFonts w:hint="eastAsia"/>
          <w:color w:val="000000"/>
          <w:sz w:val="30"/>
          <w:szCs w:val="30"/>
        </w:rPr>
        <w:t xml:space="preserve"> 市地震工作主管部门负责本行政区域内地震安全性评价的监督管理工作。</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区县（自治县）人民政府负责管理地震工作的部门或者机构负责本行政区域内地震安全性评价的监督管理工作。</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发展改革、城乡建设、国土房管、城乡规划等有关部门应当按照职责分工，共同做好地震安全性评价工作。</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第五条</w:t>
      </w:r>
      <w:r>
        <w:rPr>
          <w:rFonts w:hint="eastAsia"/>
          <w:color w:val="000000"/>
          <w:sz w:val="30"/>
          <w:szCs w:val="30"/>
        </w:rPr>
        <w:t xml:space="preserve"> 依法应当进行地震安全性评价的建设工程，建设单位应当在建设工程可行性研究或者项目申请阶段进行地震安全性评价，并在可行性研究报告或者项目申请报告中设置地震安全性评价的内容。</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第六条</w:t>
      </w:r>
      <w:r>
        <w:rPr>
          <w:rFonts w:hint="eastAsia"/>
          <w:color w:val="000000"/>
          <w:sz w:val="30"/>
          <w:szCs w:val="30"/>
        </w:rPr>
        <w:t xml:space="preserve"> 地震安全性评价单位在本市行政区域内从事地震安全性评价活动的，应当到市地震工作主管部门备案。</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第七条</w:t>
      </w:r>
      <w:r>
        <w:rPr>
          <w:rFonts w:hint="eastAsia"/>
          <w:color w:val="000000"/>
          <w:sz w:val="30"/>
          <w:szCs w:val="30"/>
        </w:rPr>
        <w:t xml:space="preserve"> 地震安全性评价单位组织实施地震安全性评价工作，应当严格执行国家地震安全性评价的技术规范，确保地震安全性评价的质量。</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第八条</w:t>
      </w:r>
      <w:r>
        <w:rPr>
          <w:rFonts w:hint="eastAsia"/>
          <w:color w:val="000000"/>
          <w:sz w:val="30"/>
          <w:szCs w:val="30"/>
        </w:rPr>
        <w:t xml:space="preserve"> 地震安全性评价单位对建设工程进行地震安全性评价后，应当编制地震安全性评价报告。</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地震安全性评价报告应当包括下列内容：</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（一）工程概况和地震安全性评价的技术要求；</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（二）地震活动环境评价；</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（三）地震地质构造评价；</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（四）设防烈度或者设计地震动参数；</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（五）地震地质灾害评价；</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（六）其他有关技术资料。</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第九条</w:t>
      </w:r>
      <w:r>
        <w:rPr>
          <w:rFonts w:hint="eastAsia"/>
          <w:color w:val="000000"/>
          <w:sz w:val="30"/>
          <w:szCs w:val="30"/>
        </w:rPr>
        <w:t xml:space="preserve"> 负责项目审批的部门，应当将抗震设防要求纳入建设工程可行性研究报告或者项目申请报告的审查内容。对可行性研究报告或者项目申请报告中未包含抗震设防要求的项目，不予批准。</w:t>
      </w:r>
    </w:p>
    <w:p>
      <w:pPr>
        <w:pStyle w:val="6"/>
        <w:shd w:val="clear" w:color="auto" w:fill="FFFFFF"/>
        <w:spacing w:before="0" w:beforeAutospacing="0" w:after="0" w:afterAutospacing="0" w:line="432" w:lineRule="atLeast"/>
        <w:ind w:firstLine="600"/>
        <w:rPr>
          <w:color w:val="000000"/>
          <w:sz w:val="30"/>
          <w:szCs w:val="30"/>
        </w:rPr>
      </w:pPr>
      <w:r>
        <w:rPr>
          <w:rFonts w:hint="eastAsia"/>
          <w:color w:val="000000"/>
          <w:sz w:val="30"/>
          <w:szCs w:val="30"/>
        </w:rPr>
        <w:t>依法应当进行地震安全性评价的建设工程，其抗震设防要求应当是经审定的地震安全性评价报告所确定的抗震设防要求。</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第十条</w:t>
      </w:r>
      <w:r>
        <w:rPr>
          <w:rFonts w:hint="eastAsia"/>
          <w:color w:val="000000"/>
          <w:sz w:val="30"/>
          <w:szCs w:val="30"/>
        </w:rPr>
        <w:t xml:space="preserve"> 依法应当进行地震安全性评价的建设工程，建设工程设计单位应当按照抗震设防要求进行抗震设计；建设工程施工单位应当按照抗震设计进行施工。</w:t>
      </w:r>
    </w:p>
    <w:p>
      <w:pPr>
        <w:pStyle w:val="6"/>
        <w:shd w:val="clear" w:color="auto" w:fill="FFFFFF"/>
        <w:spacing w:before="0" w:beforeAutospacing="0" w:after="0" w:afterAutospacing="0" w:line="432" w:lineRule="atLeast"/>
        <w:ind w:firstLine="600"/>
        <w:rPr>
          <w:color w:val="000000"/>
          <w:sz w:val="30"/>
          <w:szCs w:val="30"/>
        </w:rPr>
      </w:pPr>
      <w:r>
        <w:rPr>
          <w:rFonts w:hint="eastAsia" w:ascii="黑体" w:eastAsia="黑体"/>
          <w:color w:val="000000"/>
          <w:sz w:val="30"/>
          <w:szCs w:val="30"/>
        </w:rPr>
        <w:t>第十一条</w:t>
      </w:r>
      <w:r>
        <w:rPr>
          <w:rFonts w:hint="eastAsia"/>
          <w:color w:val="000000"/>
          <w:sz w:val="30"/>
          <w:szCs w:val="30"/>
        </w:rPr>
        <w:t xml:space="preserve"> 违反本规定，依法应当进行地震安全性评价的建设工程，未依法进行地震安全性评价，或者未按照地震安全性评价报告所确定的抗震设防要求进行抗震设防的，按照《中华人民共和国防震减灾法》予以处罚。</w:t>
      </w:r>
    </w:p>
    <w:p>
      <w:pPr>
        <w:widowControl/>
        <w:shd w:val="clear" w:color="auto" w:fill="FFFFFF"/>
        <w:spacing w:line="432" w:lineRule="atLeast"/>
        <w:ind w:firstLine="600"/>
        <w:jc w:val="left"/>
        <w:rPr>
          <w:rFonts w:ascii="宋体" w:hAnsi="宋体" w:eastAsia="宋体" w:cs="宋体"/>
          <w:kern w:val="0"/>
          <w:sz w:val="24"/>
          <w:szCs w:val="24"/>
        </w:rPr>
      </w:pPr>
      <w:r>
        <w:rPr>
          <w:rFonts w:hint="eastAsia" w:ascii="黑体" w:hAnsi="宋体" w:eastAsia="黑体" w:cs="宋体"/>
          <w:color w:val="000000"/>
          <w:kern w:val="0"/>
          <w:sz w:val="30"/>
          <w:szCs w:val="30"/>
        </w:rPr>
        <w:t>第十二条</w:t>
      </w:r>
      <w:r>
        <w:rPr>
          <w:rFonts w:hint="eastAsia" w:ascii="宋体" w:hAnsi="宋体" w:eastAsia="宋体" w:cs="宋体"/>
          <w:color w:val="000000"/>
          <w:kern w:val="0"/>
          <w:sz w:val="30"/>
          <w:szCs w:val="30"/>
        </w:rPr>
        <w:t xml:space="preserve"> 违反本规定，地震安全性评价单位未到市地震工作主管部门备案的，由市地震工作主管部门责令改正，给予警告。</w:t>
      </w:r>
    </w:p>
    <w:p>
      <w:pPr>
        <w:widowControl/>
        <w:shd w:val="clear" w:color="auto" w:fill="FFFFFF"/>
        <w:spacing w:line="432" w:lineRule="atLeast"/>
        <w:ind w:firstLine="600"/>
        <w:jc w:val="left"/>
        <w:rPr>
          <w:rFonts w:ascii="宋体" w:hAnsi="宋体" w:eastAsia="宋体" w:cs="宋体"/>
          <w:kern w:val="0"/>
          <w:sz w:val="24"/>
          <w:szCs w:val="24"/>
        </w:rPr>
      </w:pPr>
      <w:r>
        <w:rPr>
          <w:rFonts w:hint="eastAsia" w:ascii="黑体" w:hAnsi="宋体" w:eastAsia="黑体" w:cs="宋体"/>
          <w:color w:val="000000"/>
          <w:kern w:val="0"/>
          <w:sz w:val="30"/>
          <w:szCs w:val="30"/>
        </w:rPr>
        <w:t>第十三条</w:t>
      </w:r>
      <w:r>
        <w:rPr>
          <w:rFonts w:hint="eastAsia" w:ascii="宋体" w:hAnsi="宋体" w:eastAsia="宋体" w:cs="宋体"/>
          <w:color w:val="000000"/>
          <w:kern w:val="0"/>
          <w:sz w:val="30"/>
          <w:szCs w:val="30"/>
        </w:rPr>
        <w:t xml:space="preserve"> 违反本规定，地震工作主管部门或者其他有关部门的工作人员在地震安全性评价工作中玩忽职守、滥用职权、徇私舞弊的，依法给予处分；涉嫌犯罪的，移送司法机关依法处理。</w:t>
      </w:r>
    </w:p>
    <w:p>
      <w:pPr>
        <w:widowControl/>
        <w:shd w:val="clear" w:color="auto" w:fill="FFFFFF"/>
        <w:spacing w:line="432" w:lineRule="atLeast"/>
        <w:ind w:firstLine="600"/>
        <w:jc w:val="left"/>
        <w:rPr>
          <w:rFonts w:ascii="宋体" w:hAnsi="宋体" w:eastAsia="宋体" w:cs="宋体"/>
          <w:kern w:val="0"/>
          <w:sz w:val="24"/>
          <w:szCs w:val="24"/>
        </w:rPr>
      </w:pPr>
      <w:r>
        <w:rPr>
          <w:rFonts w:hint="eastAsia" w:ascii="黑体" w:hAnsi="宋体" w:eastAsia="黑体" w:cs="宋体"/>
          <w:color w:val="000000"/>
          <w:kern w:val="0"/>
          <w:sz w:val="30"/>
          <w:szCs w:val="30"/>
        </w:rPr>
        <w:t>第十四条</w:t>
      </w:r>
      <w:r>
        <w:rPr>
          <w:rFonts w:hint="eastAsia" w:ascii="宋体" w:hAnsi="宋体" w:eastAsia="宋体" w:cs="宋体"/>
          <w:color w:val="000000"/>
          <w:kern w:val="0"/>
          <w:sz w:val="30"/>
          <w:szCs w:val="30"/>
        </w:rPr>
        <w:t xml:space="preserve"> 本规定自2015年1月1日起施行。1999年7月1日公布的重庆市人民政府令第61号《重庆市建设工程场地地震安全性评价管理规定》同时废止。</w:t>
      </w:r>
    </w:p>
    <w:p>
      <w:pPr>
        <w:widowControl/>
        <w:shd w:val="clear" w:color="auto" w:fill="FFFFFF"/>
        <w:spacing w:line="432" w:lineRule="atLeast"/>
        <w:ind w:firstLine="600"/>
        <w:jc w:val="left"/>
        <w:rPr>
          <w:rFonts w:ascii="宋体" w:hAnsi="宋体" w:eastAsia="宋体" w:cs="宋体"/>
          <w:kern w:val="0"/>
          <w:sz w:val="24"/>
          <w:szCs w:val="24"/>
        </w:rPr>
      </w:pPr>
      <w:r>
        <w:rPr>
          <w:rFonts w:hint="eastAsia" w:ascii="宋体" w:hAnsi="宋体" w:eastAsia="宋体" w:cs="宋体"/>
          <w:color w:val="000000"/>
          <w:kern w:val="0"/>
          <w:sz w:val="30"/>
          <w:szCs w:val="30"/>
        </w:rPr>
        <w:t>附件：重庆市应当进行地震安全性评价的建设工程范围</w:t>
      </w:r>
    </w:p>
    <w:p>
      <w:pPr>
        <w:widowControl/>
        <w:shd w:val="clear" w:color="auto" w:fill="FFFFFF"/>
        <w:snapToGrid w:val="0"/>
        <w:spacing w:line="432" w:lineRule="atLeast"/>
        <w:jc w:val="left"/>
        <w:rPr>
          <w:rFonts w:ascii="宋体" w:hAnsi="宋体" w:eastAsia="宋体" w:cs="宋体"/>
          <w:kern w:val="0"/>
          <w:sz w:val="24"/>
          <w:szCs w:val="24"/>
        </w:rPr>
      </w:pPr>
      <w:r>
        <w:rPr>
          <w:rFonts w:hint="eastAsia" w:ascii="黑体" w:hAnsi="宋体" w:eastAsia="黑体" w:cs="宋体"/>
          <w:color w:val="000000"/>
          <w:kern w:val="0"/>
          <w:sz w:val="30"/>
          <w:szCs w:val="30"/>
        </w:rPr>
        <w:t>附件</w:t>
      </w:r>
    </w:p>
    <w:p>
      <w:pPr>
        <w:widowControl/>
        <w:shd w:val="clear" w:color="auto" w:fill="FFFFFF"/>
        <w:snapToGrid w:val="0"/>
        <w:spacing w:line="432" w:lineRule="atLeast"/>
        <w:jc w:val="center"/>
        <w:rPr>
          <w:rFonts w:ascii="宋体" w:hAnsi="宋体" w:eastAsia="宋体" w:cs="宋体"/>
          <w:kern w:val="0"/>
          <w:sz w:val="24"/>
          <w:szCs w:val="24"/>
        </w:rPr>
      </w:pPr>
      <w:r>
        <w:rPr>
          <w:rFonts w:hint="eastAsia" w:ascii="黑体" w:hAnsi="宋体" w:eastAsia="黑体" w:cs="宋体"/>
          <w:color w:val="000000"/>
          <w:kern w:val="0"/>
          <w:sz w:val="30"/>
          <w:szCs w:val="30"/>
        </w:rPr>
        <w:t>重庆市应当进行地震安全性</w:t>
      </w:r>
    </w:p>
    <w:p>
      <w:pPr>
        <w:widowControl/>
        <w:shd w:val="clear" w:color="auto" w:fill="FFFFFF"/>
        <w:snapToGrid w:val="0"/>
        <w:spacing w:line="432" w:lineRule="atLeast"/>
        <w:jc w:val="center"/>
        <w:rPr>
          <w:rFonts w:ascii="宋体" w:hAnsi="宋体" w:eastAsia="宋体" w:cs="宋体"/>
          <w:kern w:val="0"/>
          <w:sz w:val="24"/>
          <w:szCs w:val="24"/>
        </w:rPr>
      </w:pPr>
      <w:r>
        <w:rPr>
          <w:rFonts w:hint="eastAsia" w:ascii="黑体" w:hAnsi="宋体" w:eastAsia="黑体" w:cs="宋体"/>
          <w:color w:val="000000"/>
          <w:kern w:val="0"/>
          <w:sz w:val="30"/>
          <w:szCs w:val="30"/>
        </w:rPr>
        <w:t>评价的建设工程范围</w:t>
      </w:r>
    </w:p>
    <w:tbl>
      <w:tblPr>
        <w:tblStyle w:val="4"/>
        <w:tblW w:w="9127" w:type="dxa"/>
        <w:jc w:val="center"/>
        <w:tblLayout w:type="fixed"/>
        <w:tblCellMar>
          <w:top w:w="0" w:type="dxa"/>
          <w:left w:w="0" w:type="dxa"/>
          <w:bottom w:w="0" w:type="dxa"/>
          <w:right w:w="0" w:type="dxa"/>
        </w:tblCellMar>
      </w:tblPr>
      <w:tblGrid>
        <w:gridCol w:w="798"/>
        <w:gridCol w:w="8329"/>
      </w:tblGrid>
      <w:tr>
        <w:tblPrEx>
          <w:tblCellMar>
            <w:top w:w="0" w:type="dxa"/>
            <w:left w:w="0" w:type="dxa"/>
            <w:bottom w:w="0" w:type="dxa"/>
            <w:right w:w="0" w:type="dxa"/>
          </w:tblCellMar>
        </w:tblPrEx>
        <w:trPr>
          <w:trHeight w:val="454" w:hRule="atLeast"/>
          <w:jc w:val="center"/>
        </w:trPr>
        <w:tc>
          <w:tcPr>
            <w:tcW w:w="7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jc w:val="center"/>
              <w:rPr>
                <w:rFonts w:ascii="宋体" w:hAnsi="宋体" w:eastAsia="宋体" w:cs="宋体"/>
                <w:kern w:val="0"/>
                <w:sz w:val="24"/>
                <w:szCs w:val="24"/>
                <w:highlight w:val="none"/>
              </w:rPr>
            </w:pPr>
            <w:bookmarkStart w:id="0" w:name="_GoBack"/>
            <w:r>
              <w:rPr>
                <w:rFonts w:hint="eastAsia" w:ascii="黑体" w:hAnsi="宋体" w:eastAsia="黑体" w:cs="宋体"/>
                <w:kern w:val="0"/>
                <w:sz w:val="30"/>
                <w:szCs w:val="30"/>
                <w:highlight w:val="none"/>
              </w:rPr>
              <w:t>类型</w:t>
            </w: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center"/>
              <w:rPr>
                <w:rFonts w:ascii="宋体" w:hAnsi="宋体" w:eastAsia="宋体" w:cs="宋体"/>
                <w:kern w:val="0"/>
                <w:sz w:val="24"/>
                <w:szCs w:val="24"/>
                <w:highlight w:val="none"/>
              </w:rPr>
            </w:pPr>
            <w:r>
              <w:rPr>
                <w:rFonts w:hint="eastAsia" w:ascii="黑体" w:hAnsi="宋体" w:eastAsia="黑体" w:cs="宋体"/>
                <w:kern w:val="0"/>
                <w:sz w:val="30"/>
                <w:szCs w:val="30"/>
                <w:highlight w:val="none"/>
              </w:rPr>
              <w:t>建</w:t>
            </w:r>
            <w:r>
              <w:rPr>
                <w:rFonts w:hint="eastAsia" w:ascii="宋体" w:hAnsi="宋体" w:eastAsia="宋体" w:cs="宋体"/>
                <w:kern w:val="0"/>
                <w:sz w:val="30"/>
                <w:szCs w:val="30"/>
                <w:highlight w:val="none"/>
              </w:rPr>
              <w:t> </w:t>
            </w:r>
            <w:r>
              <w:rPr>
                <w:rFonts w:hint="eastAsia" w:ascii="黑体" w:hAnsi="宋体" w:eastAsia="黑体" w:cs="宋体"/>
                <w:kern w:val="0"/>
                <w:sz w:val="30"/>
                <w:szCs w:val="30"/>
                <w:highlight w:val="none"/>
              </w:rPr>
              <w:t>设</w:t>
            </w:r>
            <w:r>
              <w:rPr>
                <w:rFonts w:hint="eastAsia" w:ascii="宋体" w:hAnsi="宋体" w:eastAsia="宋体" w:cs="宋体"/>
                <w:kern w:val="0"/>
                <w:sz w:val="30"/>
                <w:szCs w:val="30"/>
                <w:highlight w:val="none"/>
              </w:rPr>
              <w:t> </w:t>
            </w:r>
            <w:r>
              <w:rPr>
                <w:rFonts w:hint="eastAsia" w:ascii="黑体" w:hAnsi="宋体" w:eastAsia="黑体" w:cs="宋体"/>
                <w:kern w:val="0"/>
                <w:sz w:val="30"/>
                <w:szCs w:val="30"/>
                <w:highlight w:val="none"/>
              </w:rPr>
              <w:t>工</w:t>
            </w:r>
            <w:r>
              <w:rPr>
                <w:rFonts w:hint="eastAsia" w:ascii="宋体" w:hAnsi="宋体" w:eastAsia="宋体" w:cs="宋体"/>
                <w:kern w:val="0"/>
                <w:sz w:val="30"/>
                <w:szCs w:val="30"/>
                <w:highlight w:val="none"/>
              </w:rPr>
              <w:t> </w:t>
            </w:r>
            <w:r>
              <w:rPr>
                <w:rFonts w:hint="eastAsia" w:ascii="黑体" w:hAnsi="宋体" w:eastAsia="黑体" w:cs="宋体"/>
                <w:kern w:val="0"/>
                <w:sz w:val="30"/>
                <w:szCs w:val="30"/>
                <w:highlight w:val="none"/>
              </w:rPr>
              <w:t>程</w:t>
            </w:r>
            <w:r>
              <w:rPr>
                <w:rFonts w:hint="eastAsia" w:ascii="宋体" w:hAnsi="宋体" w:eastAsia="宋体" w:cs="宋体"/>
                <w:kern w:val="0"/>
                <w:sz w:val="30"/>
                <w:szCs w:val="30"/>
                <w:highlight w:val="none"/>
              </w:rPr>
              <w:t> </w:t>
            </w:r>
            <w:r>
              <w:rPr>
                <w:rFonts w:hint="eastAsia" w:ascii="黑体" w:hAnsi="宋体" w:eastAsia="黑体" w:cs="宋体"/>
                <w:kern w:val="0"/>
                <w:sz w:val="30"/>
                <w:szCs w:val="30"/>
                <w:highlight w:val="none"/>
              </w:rPr>
              <w:t>项</w:t>
            </w:r>
            <w:r>
              <w:rPr>
                <w:rFonts w:hint="eastAsia" w:ascii="宋体" w:hAnsi="宋体" w:eastAsia="宋体" w:cs="宋体"/>
                <w:kern w:val="0"/>
                <w:sz w:val="30"/>
                <w:szCs w:val="30"/>
                <w:highlight w:val="none"/>
              </w:rPr>
              <w:t> </w:t>
            </w:r>
            <w:r>
              <w:rPr>
                <w:rFonts w:hint="eastAsia" w:ascii="黑体" w:hAnsi="宋体" w:eastAsia="黑体" w:cs="宋体"/>
                <w:kern w:val="0"/>
                <w:sz w:val="30"/>
                <w:szCs w:val="30"/>
                <w:highlight w:val="none"/>
              </w:rPr>
              <w:t>目</w:t>
            </w:r>
          </w:p>
        </w:tc>
      </w:tr>
      <w:tr>
        <w:tblPrEx>
          <w:tblCellMar>
            <w:top w:w="0" w:type="dxa"/>
            <w:left w:w="0" w:type="dxa"/>
            <w:bottom w:w="0" w:type="dxa"/>
            <w:right w:w="0" w:type="dxa"/>
          </w:tblCellMar>
        </w:tblPrEx>
        <w:trPr>
          <w:trHeight w:val="454" w:hRule="atLeast"/>
          <w:jc w:val="center"/>
        </w:trPr>
        <w:tc>
          <w:tcPr>
            <w:tcW w:w="798" w:type="dxa"/>
            <w:vMerge w:val="restart"/>
            <w:tcBorders>
              <w:top w:val="nil"/>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jc w:val="center"/>
              <w:rPr>
                <w:rFonts w:ascii="宋体" w:hAnsi="宋体" w:eastAsia="宋体" w:cs="宋体"/>
                <w:kern w:val="0"/>
                <w:sz w:val="24"/>
                <w:szCs w:val="24"/>
                <w:highlight w:val="none"/>
              </w:rPr>
            </w:pPr>
            <w:r>
              <w:rPr>
                <w:rFonts w:hint="eastAsia" w:ascii="宋体" w:hAnsi="宋体" w:eastAsia="宋体" w:cs="宋体"/>
                <w:kern w:val="0"/>
                <w:sz w:val="30"/>
                <w:szCs w:val="30"/>
                <w:highlight w:val="none"/>
              </w:rPr>
              <w:t>重大</w:t>
            </w:r>
          </w:p>
          <w:p>
            <w:pPr>
              <w:widowControl/>
              <w:jc w:val="center"/>
              <w:rPr>
                <w:rFonts w:ascii="宋体" w:hAnsi="宋体" w:eastAsia="宋体" w:cs="宋体"/>
                <w:kern w:val="0"/>
                <w:sz w:val="24"/>
                <w:szCs w:val="24"/>
                <w:highlight w:val="none"/>
              </w:rPr>
            </w:pPr>
            <w:r>
              <w:rPr>
                <w:rFonts w:hint="eastAsia" w:ascii="宋体" w:hAnsi="宋体" w:eastAsia="宋体" w:cs="宋体"/>
                <w:kern w:val="0"/>
                <w:sz w:val="30"/>
                <w:szCs w:val="30"/>
                <w:highlight w:val="none"/>
              </w:rPr>
              <w:t>建设</w:t>
            </w:r>
          </w:p>
          <w:p>
            <w:pPr>
              <w:widowControl/>
              <w:jc w:val="center"/>
              <w:rPr>
                <w:rFonts w:ascii="宋体" w:hAnsi="宋体" w:eastAsia="宋体" w:cs="宋体"/>
                <w:kern w:val="0"/>
                <w:sz w:val="24"/>
                <w:szCs w:val="24"/>
                <w:highlight w:val="none"/>
              </w:rPr>
            </w:pPr>
            <w:r>
              <w:rPr>
                <w:rFonts w:hint="eastAsia" w:ascii="宋体" w:hAnsi="宋体" w:eastAsia="宋体" w:cs="宋体"/>
                <w:kern w:val="0"/>
                <w:sz w:val="30"/>
                <w:szCs w:val="30"/>
                <w:highlight w:val="none"/>
              </w:rPr>
              <w:t>工程</w:t>
            </w: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1．按照国家规定属于重点防御区内的市、区县级首脑机关办公用房，公安及其交通管理、消防指挥机构。</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2．大型工矿企业的重要办公、生产、动力设施和试验中心用房。</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3．建筑结构高度100米以上的高层建筑。</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4．大型影剧院、礼堂（座位数多于1200座），大型体育馆（中心）（座位容量多于30000人），大型娱乐场所（一个区段座位总数多于1200座或单个大厅座位数多于500座），大型商场（任一楼层建筑面积大于等于5000平方米或总建筑面积大于等于15000平方米），展览馆、会展中心（一个区段设计容纳人数大于5000人）；三级及以上医疗机构门急诊、医技、住院等业务用房，承担研究、实验和存放剧毒的高危传染病病毒任务的市级疾病预防控制机构业务用房。</w:t>
            </w:r>
          </w:p>
        </w:tc>
      </w:tr>
      <w:tr>
        <w:tblPrEx>
          <w:tblCellMar>
            <w:top w:w="0" w:type="dxa"/>
            <w:left w:w="0" w:type="dxa"/>
            <w:bottom w:w="0" w:type="dxa"/>
            <w:right w:w="0" w:type="dxa"/>
          </w:tblCellMar>
        </w:tblPrEx>
        <w:trPr>
          <w:trHeight w:val="454" w:hRule="atLeast"/>
          <w:jc w:val="center"/>
        </w:trPr>
        <w:tc>
          <w:tcPr>
            <w:tcW w:w="79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4"/>
                <w:szCs w:val="24"/>
                <w:highlight w:val="none"/>
              </w:rPr>
            </w:pP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5．新建、搬迁复建的具有重大文物价值和纪念意义的建筑物、构筑物。</w:t>
            </w:r>
          </w:p>
        </w:tc>
      </w:tr>
      <w:tr>
        <w:tblPrEx>
          <w:tblCellMar>
            <w:top w:w="0" w:type="dxa"/>
            <w:left w:w="0" w:type="dxa"/>
            <w:bottom w:w="0" w:type="dxa"/>
            <w:right w:w="0" w:type="dxa"/>
          </w:tblCellMar>
        </w:tblPrEx>
        <w:trPr>
          <w:trHeight w:val="454" w:hRule="atLeast"/>
          <w:jc w:val="center"/>
        </w:trPr>
        <w:tc>
          <w:tcPr>
            <w:tcW w:w="79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4"/>
                <w:szCs w:val="24"/>
                <w:highlight w:val="none"/>
              </w:rPr>
            </w:pP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6．公路与铁路干线、城市道路的大型桥梁（桥梁单孔跨径大于150米或多孔跨径总长大于1000米）、隧道（长度大于1000米）、立交工程（三层及以上）；城市轨道交通工程。</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7．一、二级汽车客运站，一级港口客运站；大型码头（千吨级以上）；民用机场。</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8．大型水库（蓄水量大于等于1亿立方米）大坝和位于大中城市（人口20万以上）市区或上游的挡水坝。</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9．单机容量大于等于300MW或规划容量超过800MW的火电厂和装机容量超过200MW的水电厂；超过500KV的变电站和调度楼；市级电力调度中心工程。</w:t>
            </w:r>
          </w:p>
        </w:tc>
      </w:tr>
      <w:tr>
        <w:tblPrEx>
          <w:tblCellMar>
            <w:top w:w="0" w:type="dxa"/>
            <w:left w:w="0" w:type="dxa"/>
            <w:bottom w:w="0" w:type="dxa"/>
            <w:right w:w="0" w:type="dxa"/>
          </w:tblCellMar>
        </w:tblPrEx>
        <w:trPr>
          <w:trHeight w:val="454" w:hRule="atLeast"/>
          <w:jc w:val="center"/>
        </w:trPr>
        <w:tc>
          <w:tcPr>
            <w:tcW w:w="79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4"/>
                <w:szCs w:val="24"/>
                <w:highlight w:val="none"/>
              </w:rPr>
            </w:pP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10．大、中城市通讯枢纽的主体工程和重要建筑；终局容量10万门以上程控电话端局；</w:t>
            </w:r>
            <w:r>
              <w:rPr>
                <w:rFonts w:hint="eastAsia" w:ascii="宋体" w:hAnsi="宋体" w:eastAsia="宋体" w:cs="宋体"/>
                <w:color w:val="000000" w:themeColor="text1"/>
                <w:kern w:val="0"/>
                <w:sz w:val="30"/>
                <w:szCs w:val="30"/>
                <w:highlight w:val="none"/>
                <w14:textFill>
                  <w14:solidFill>
                    <w14:schemeClr w14:val="tx1"/>
                  </w14:solidFill>
                </w14:textFill>
              </w:rPr>
              <w:t>国际出入口局、国际无线电台，国家卫星通信地球站。</w:t>
            </w:r>
          </w:p>
        </w:tc>
      </w:tr>
      <w:tr>
        <w:tblPrEx>
          <w:tblCellMar>
            <w:top w:w="0" w:type="dxa"/>
            <w:left w:w="0" w:type="dxa"/>
            <w:bottom w:w="0" w:type="dxa"/>
            <w:right w:w="0" w:type="dxa"/>
          </w:tblCellMar>
        </w:tblPrEx>
        <w:trPr>
          <w:trHeight w:val="454" w:hRule="atLeast"/>
          <w:jc w:val="center"/>
        </w:trPr>
        <w:tc>
          <w:tcPr>
            <w:tcW w:w="79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4"/>
                <w:szCs w:val="24"/>
                <w:highlight w:val="none"/>
              </w:rPr>
            </w:pP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11．高度250米以上的钢筋混凝土电视调频广播发射塔和高度300米以上的钢电视调频广播发射塔。</w:t>
            </w:r>
          </w:p>
        </w:tc>
      </w:tr>
      <w:tr>
        <w:tblPrEx>
          <w:tblCellMar>
            <w:top w:w="0" w:type="dxa"/>
            <w:left w:w="0" w:type="dxa"/>
            <w:bottom w:w="0" w:type="dxa"/>
            <w:right w:w="0" w:type="dxa"/>
          </w:tblCellMar>
        </w:tblPrEx>
        <w:trPr>
          <w:trHeight w:val="454" w:hRule="atLeast"/>
          <w:jc w:val="center"/>
        </w:trPr>
        <w:tc>
          <w:tcPr>
            <w:tcW w:w="79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4"/>
                <w:szCs w:val="24"/>
                <w:highlight w:val="none"/>
              </w:rPr>
            </w:pP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12．市级和区县级的广播电视中心、广播电视卫星地球站的主体建筑。</w:t>
            </w:r>
          </w:p>
        </w:tc>
      </w:tr>
      <w:tr>
        <w:tblPrEx>
          <w:tblCellMar>
            <w:top w:w="0" w:type="dxa"/>
            <w:left w:w="0" w:type="dxa"/>
            <w:bottom w:w="0" w:type="dxa"/>
            <w:right w:w="0" w:type="dxa"/>
          </w:tblCellMar>
        </w:tblPrEx>
        <w:trPr>
          <w:trHeight w:val="425" w:hRule="atLeast"/>
          <w:jc w:val="center"/>
        </w:trPr>
        <w:tc>
          <w:tcPr>
            <w:tcW w:w="79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eastAsia="宋体" w:cs="宋体"/>
                <w:kern w:val="0"/>
                <w:sz w:val="24"/>
                <w:szCs w:val="24"/>
                <w:highlight w:val="none"/>
              </w:rPr>
            </w:pP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13．供水、供气、供油、供热的主要干线工程。</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14．储量3万立方米及以上的储油工程；储量10万立方米及以上的储气工程；日供水10万吨以上的储水工程。</w:t>
            </w:r>
          </w:p>
        </w:tc>
      </w:tr>
      <w:tr>
        <w:tblPrEx>
          <w:tblCellMar>
            <w:top w:w="0" w:type="dxa"/>
            <w:left w:w="0" w:type="dxa"/>
            <w:bottom w:w="0" w:type="dxa"/>
            <w:right w:w="0" w:type="dxa"/>
          </w:tblCellMar>
        </w:tblPrEx>
        <w:trPr>
          <w:trHeight w:val="425" w:hRule="atLeast"/>
          <w:jc w:val="center"/>
        </w:trPr>
        <w:tc>
          <w:tcPr>
            <w:tcW w:w="7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jc w:val="center"/>
              <w:rPr>
                <w:rFonts w:ascii="宋体" w:hAnsi="宋体" w:eastAsia="宋体" w:cs="宋体"/>
                <w:kern w:val="0"/>
                <w:sz w:val="24"/>
                <w:szCs w:val="24"/>
                <w:highlight w:val="none"/>
              </w:rPr>
            </w:pPr>
            <w:r>
              <w:rPr>
                <w:rFonts w:hint="eastAsia" w:ascii="宋体" w:hAnsi="宋体" w:eastAsia="宋体" w:cs="宋体"/>
                <w:kern w:val="0"/>
                <w:sz w:val="30"/>
                <w:szCs w:val="30"/>
                <w:highlight w:val="none"/>
              </w:rPr>
              <w:t>可能产生严重次生灾害的建设工程</w:t>
            </w: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1．核反应堆、核电站、核供热装置、核生产厂房。</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2．存放大量放射性物质的装置。</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3．生产、储运易燃、易爆、剧毒、易腐蚀、易污染物质的大中型化工工程。</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4．一等尾矿坝（库容大于1万立方米或者坝高超高100米，且下游有重要城镇、工矿企业或铁路干线）。</w:t>
            </w:r>
          </w:p>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5．日处理8万吨及以上的污水处理工程。</w:t>
            </w:r>
          </w:p>
        </w:tc>
      </w:tr>
      <w:tr>
        <w:tblPrEx>
          <w:tblCellMar>
            <w:top w:w="0" w:type="dxa"/>
            <w:left w:w="0" w:type="dxa"/>
            <w:bottom w:w="0" w:type="dxa"/>
            <w:right w:w="0" w:type="dxa"/>
          </w:tblCellMar>
        </w:tblPrEx>
        <w:trPr>
          <w:trHeight w:val="425" w:hRule="atLeast"/>
          <w:jc w:val="center"/>
        </w:trPr>
        <w:tc>
          <w:tcPr>
            <w:tcW w:w="79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widowControl/>
              <w:jc w:val="center"/>
              <w:rPr>
                <w:rFonts w:ascii="宋体" w:hAnsi="宋体" w:eastAsia="宋体" w:cs="宋体"/>
                <w:kern w:val="0"/>
                <w:sz w:val="24"/>
                <w:szCs w:val="24"/>
                <w:highlight w:val="none"/>
              </w:rPr>
            </w:pPr>
            <w:r>
              <w:rPr>
                <w:rFonts w:hint="eastAsia" w:ascii="宋体" w:hAnsi="宋体" w:eastAsia="宋体" w:cs="宋体"/>
                <w:kern w:val="0"/>
                <w:sz w:val="30"/>
                <w:szCs w:val="30"/>
                <w:highlight w:val="none"/>
              </w:rPr>
              <w:t>其他建设工程</w:t>
            </w:r>
          </w:p>
        </w:tc>
        <w:tc>
          <w:tcPr>
            <w:tcW w:w="8329" w:type="dxa"/>
            <w:tcBorders>
              <w:top w:val="single" w:color="000000" w:sz="4" w:space="0"/>
              <w:left w:val="nil"/>
              <w:bottom w:val="single" w:color="000000" w:sz="4" w:space="0"/>
              <w:right w:val="single" w:color="000000" w:sz="4" w:space="0"/>
            </w:tcBorders>
            <w:tcMar>
              <w:top w:w="0" w:type="dxa"/>
              <w:left w:w="28" w:type="dxa"/>
              <w:bottom w:w="0" w:type="dxa"/>
              <w:right w:w="28" w:type="dxa"/>
            </w:tcMar>
            <w:vAlign w:val="center"/>
          </w:tcPr>
          <w:p>
            <w:pPr>
              <w:widowControl/>
              <w:jc w:val="left"/>
              <w:rPr>
                <w:rFonts w:ascii="宋体" w:hAnsi="宋体" w:eastAsia="宋体" w:cs="宋体"/>
                <w:kern w:val="0"/>
                <w:sz w:val="24"/>
                <w:szCs w:val="24"/>
                <w:highlight w:val="none"/>
              </w:rPr>
            </w:pPr>
            <w:r>
              <w:rPr>
                <w:rFonts w:hint="eastAsia" w:ascii="宋体" w:hAnsi="宋体" w:eastAsia="宋体" w:cs="宋体"/>
                <w:kern w:val="0"/>
                <w:sz w:val="30"/>
                <w:szCs w:val="30"/>
                <w:highlight w:val="none"/>
              </w:rPr>
              <w:t>法律、法规、规章和国务院有关行业主管部门规定需要进行地震安全性评价的其他建设工程。</w:t>
            </w:r>
          </w:p>
        </w:tc>
      </w:tr>
      <w:bookmarkEnd w:id="0"/>
    </w:tbl>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127"/>
    <w:rsid w:val="00080286"/>
    <w:rsid w:val="00086A09"/>
    <w:rsid w:val="001C1FC9"/>
    <w:rsid w:val="002708AC"/>
    <w:rsid w:val="0035160A"/>
    <w:rsid w:val="005253AF"/>
    <w:rsid w:val="005B6FFD"/>
    <w:rsid w:val="00601F0F"/>
    <w:rsid w:val="00973127"/>
    <w:rsid w:val="009D5551"/>
    <w:rsid w:val="00A248B5"/>
    <w:rsid w:val="00AB1B22"/>
    <w:rsid w:val="00D2214F"/>
    <w:rsid w:val="00D50704"/>
    <w:rsid w:val="5DE71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user</Company>
  <Pages>6</Pages>
  <Words>392</Words>
  <Characters>2235</Characters>
  <Lines>18</Lines>
  <Paragraphs>5</Paragraphs>
  <TotalTime>56</TotalTime>
  <ScaleCrop>false</ScaleCrop>
  <LinksUpToDate>false</LinksUpToDate>
  <CharactersWithSpaces>2622</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2018-07-25T17:32:00Z</dcterms:created>
  <dc:creator>任志国</dc:creator>
  <cp:lastModifiedBy>崔蔚</cp:lastModifiedBy>
  <cp:lastPrinted>2019-01-03T10:59:00Z</cp:lastPrinted>
  <dcterms:modified xsi:type="dcterms:W3CDTF">2026-08-03T16:24:28Z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D9B4112A84376F193C50706AC283076B</vt:lpwstr>
  </property>
</Properties>
</file>